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4"/>
        <w:ind w:left="0" w:right="0" w:firstLine="0"/>
        <w:spacing w:before="570" w:after="210"/>
        <w:pBdr>
          <w:top w:val="none" w:color="000000" w:sz="4" w:space="0"/>
          <w:left w:val="none" w:color="000000" w:sz="4" w:space="0"/>
          <w:bottom w:val="single" w:color="E2E8F0" w:sz="12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12263f"/>
          <w:sz w:val="39"/>
        </w:rPr>
        <w:t xml:space="preserve">Что изменилось к 2026/2027 учебному году</w:t>
      </w:r>
      <w:r/>
    </w:p>
    <w:tbl>
      <w:tblPr>
        <w:tblStyle w:val="67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776"/>
        <w:gridCol w:w="3028"/>
        <w:gridCol w:w="4550"/>
      </w:tblGrid>
      <w:tr>
        <w:trPr/>
        <w:tc>
          <w:tcPr>
            <w:shd w:val="clear" w:color="e8edf2" w:fill="e8edf2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177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b/>
                <w:color w:val="12263f"/>
                <w:sz w:val="28"/>
                <w:szCs w:val="28"/>
              </w:rPr>
              <w:t xml:space="preserve">Позиция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e8edf2" w:fill="e8edf2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302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b/>
                <w:color w:val="12263f"/>
                <w:sz w:val="28"/>
                <w:szCs w:val="28"/>
              </w:rPr>
              <w:t xml:space="preserve">До 31.08.2026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e8edf2" w:fill="e8edf2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455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b/>
                <w:color w:val="12263f"/>
                <w:sz w:val="28"/>
                <w:szCs w:val="28"/>
              </w:rPr>
              <w:t xml:space="preserve">С 2026/2027 учебного года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177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Федеральный перечень учебников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302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Приказ Минпросвещения России от 26.06.2025 № 495 (с изменениями № 768, № 973, № 203)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455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Приказ Минпросвещения России от 22.06.2026 № 436, действует с 03.08.2026; прежние приказы утратили силу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177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Санитарные требования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302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СП 2.4.3648-20 (постановление от 28.09.2020 № 28)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455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СП 2.4.2.4283-26 (постановление от 02.06.2026 № 19), с 01.09.2026 по 01.09.2032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177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Порядок организации образовательной деятельности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302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Приказ Минпросвещения России от 22.03.2021 № 115 в прежней редакции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455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Приказ № 115 в редакции приказа от 08.05.2026 № 316 — с 01.09.2026 по 01.09.2027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177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Федеральные образовательные программы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302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Приказы № 372, № 370, № 371 с изменениями по приказу № 704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455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Те же приказы с изменениями по приказам от 08.10.2025 № 729 и от 10.11.2025 № 808 — применяются с 01.09.2026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177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Календарь образовательных событий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302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Календарь на 2025/2026 учебный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455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Календарь на 2026/2027 учебный год не утверждён — планирование ведётся по федеральному календарному плану воспитательной работы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646"/>
        <w:ind w:left="0" w:right="0" w:firstLine="0"/>
        <w:spacing w:before="390" w:after="150"/>
        <w:rPr>
          <w:rFonts w:ascii="Arial" w:hAnsi="Arial" w:eastAsia="Arial" w:cs="Arial"/>
          <w:b/>
          <w:bCs/>
          <w:sz w:val="30"/>
          <w:szCs w:val="3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12263f"/>
          <w:sz w:val="30"/>
          <w:highlight w:val="none"/>
        </w:rPr>
      </w:r>
      <w:r>
        <w:rPr>
          <w:rFonts w:ascii="Arial" w:hAnsi="Arial" w:eastAsia="Arial" w:cs="Arial"/>
          <w:b/>
          <w:bCs/>
          <w:color w:val="12263f"/>
          <w:sz w:val="30"/>
          <w:highlight w:val="none"/>
        </w:rPr>
      </w:r>
    </w:p>
    <w:p>
      <w:pPr>
        <w:pStyle w:val="646"/>
        <w:ind w:left="0" w:right="0" w:firstLine="0"/>
        <w:spacing w:before="390" w:after="150"/>
        <w:rPr>
          <w:rFonts w:ascii="Arial" w:hAnsi="Arial" w:eastAsia="Arial" w:cs="Arial"/>
          <w:b/>
          <w:bCs/>
          <w:color w:val="12263f"/>
          <w:sz w:val="30"/>
          <w:szCs w:val="3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12263f"/>
          <w:sz w:val="30"/>
          <w:highlight w:val="none"/>
        </w:rPr>
      </w:r>
      <w:r>
        <w:rPr>
          <w:rFonts w:ascii="Arial" w:hAnsi="Arial" w:eastAsia="Arial" w:cs="Arial"/>
          <w:b/>
          <w:bCs/>
          <w:color w:val="12263f"/>
          <w:sz w:val="30"/>
          <w:highlight w:val="none"/>
        </w:rPr>
      </w:r>
    </w:p>
    <w:p>
      <w:pPr>
        <w:pStyle w:val="646"/>
        <w:ind w:left="0" w:right="0" w:firstLine="0"/>
        <w:spacing w:before="390" w:after="150"/>
        <w:rPr>
          <w:rFonts w:ascii="Arial" w:hAnsi="Arial" w:eastAsia="Arial" w:cs="Arial"/>
          <w:b/>
          <w:bCs/>
          <w:color w:val="12263f"/>
          <w:sz w:val="40"/>
          <w:szCs w:val="4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12263f"/>
          <w:sz w:val="40"/>
          <w:szCs w:val="40"/>
        </w:rPr>
        <w:t xml:space="preserve">Новый федеральный перечень учебников</w:t>
      </w:r>
      <w:r>
        <w:rPr>
          <w:b/>
          <w:bCs/>
          <w:sz w:val="40"/>
          <w:szCs w:val="40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color w:val="1f2933"/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1f2933"/>
          <w:sz w:val="36"/>
          <w:szCs w:val="36"/>
        </w:rPr>
        <w:t xml:space="preserve">Приказ Минпросвещения России от 22 июня 2026 г. № 436 зарегистрирован Минюстом России 22 июля 2026 г. (регистрационный № 87563), официально опубликован 23 июля 2026 г. и вступил в силу 3 августа 2026 года. Одновременно признаны утратившими силу приказ от 2</w:t>
      </w:r>
      <w:r>
        <w:rPr>
          <w:rFonts w:ascii="Arial" w:hAnsi="Arial" w:eastAsia="Arial" w:cs="Arial"/>
          <w:color w:val="1f2933"/>
          <w:sz w:val="36"/>
          <w:szCs w:val="36"/>
        </w:rPr>
        <w:t xml:space="preserve">6 июня 2025 г. № 495 и вносившие в него изменения приказы от 27 октября 2025 г. № 768, от 18 декабря 2025 г. № 973 и от 26 марта 2026 г. № 203.</w:t>
      </w:r>
      <w:r>
        <w:rPr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color w:val="1f2933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8a6400"/>
          <w:sz w:val="36"/>
          <w:szCs w:val="36"/>
        </w:rPr>
        <w:t xml:space="preserve">Что это означает для библиотеки</w:t>
      </w:r>
      <w:r>
        <w:rPr>
          <w:rFonts w:ascii="Arial" w:hAnsi="Arial" w:eastAsia="Arial" w:cs="Arial"/>
          <w:b/>
          <w:color w:val="8a6400"/>
          <w:sz w:val="24"/>
        </w:rPr>
        <w:t xml:space="preserve">.</w:t>
      </w:r>
      <w:r>
        <w:rPr>
          <w:rFonts w:ascii="Arial" w:hAnsi="Arial" w:eastAsia="Arial" w:cs="Arial"/>
          <w:color w:val="1f2933"/>
          <w:sz w:val="36"/>
          <w:szCs w:val="36"/>
        </w:rPr>
        <w:t xml:space="preserve"> </w:t>
      </w:r>
      <w:r>
        <w:rPr>
          <w:rFonts w:ascii="Arial" w:hAnsi="Arial" w:eastAsia="Arial" w:cs="Arial"/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1f2933"/>
          <w:sz w:val="36"/>
          <w:szCs w:val="36"/>
        </w:rPr>
        <w:t xml:space="preserve">Все ссылки на федеральный перечень в положении о библиотеке, в положении об обеспечении учебниками, в приказе директора и в форме заказа подлежат замене на приказ № 436. Предельные сроки использования учебников и учебных пособий, исключённых из перечня, у</w:t>
      </w:r>
      <w:r>
        <w:rPr>
          <w:rFonts w:ascii="Arial" w:hAnsi="Arial" w:eastAsia="Arial" w:cs="Arial"/>
          <w:color w:val="1f2933"/>
          <w:sz w:val="36"/>
          <w:szCs w:val="36"/>
        </w:rPr>
        <w:t xml:space="preserve">становлены приложением № 2 к приказу — на их основе ведётся картотека предельных сроков.</w:t>
      </w:r>
      <w:r>
        <w:rPr>
          <w:sz w:val="36"/>
          <w:szCs w:val="36"/>
        </w:rPr>
      </w:r>
      <w:r/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36"/>
          <w:szCs w:val="36"/>
        </w:rPr>
      </w:r>
      <w:r>
        <w:rPr>
          <w:rFonts w:ascii="Arial" w:hAnsi="Arial" w:eastAsia="Arial" w:cs="Arial"/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36"/>
          <w:szCs w:val="36"/>
        </w:rPr>
      </w:r>
      <w:r>
        <w:rPr>
          <w:rFonts w:ascii="Arial" w:hAnsi="Arial" w:eastAsia="Arial" w:cs="Arial"/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36"/>
          <w:szCs w:val="36"/>
        </w:rPr>
      </w:r>
      <w:r>
        <w:rPr>
          <w:rFonts w:ascii="Arial" w:hAnsi="Arial" w:eastAsia="Arial" w:cs="Arial"/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36"/>
          <w:szCs w:val="36"/>
        </w:rPr>
      </w:r>
      <w:r>
        <w:rPr>
          <w:rFonts w:ascii="Arial" w:hAnsi="Arial" w:eastAsia="Arial" w:cs="Arial"/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36"/>
          <w:szCs w:val="36"/>
        </w:rPr>
      </w:r>
      <w:r>
        <w:rPr>
          <w:rFonts w:ascii="Arial" w:hAnsi="Arial" w:eastAsia="Arial" w:cs="Arial"/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36"/>
          <w:szCs w:val="36"/>
        </w:rPr>
      </w:r>
      <w:r>
        <w:rPr>
          <w:rFonts w:ascii="Arial" w:hAnsi="Arial" w:eastAsia="Arial" w:cs="Arial"/>
          <w:sz w:val="36"/>
          <w:szCs w:val="36"/>
        </w:rPr>
      </w:r>
    </w:p>
    <w:p>
      <w:pPr>
        <w:ind w:left="0" w:right="0" w:firstLine="0"/>
        <w:spacing w:before="0" w:after="210" w:line="360" w:lineRule="atLeast"/>
        <w:rPr>
          <w:rFonts w:ascii="Arial" w:hAnsi="Arial" w:eastAsia="Arial" w:cs="Arial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36"/>
          <w:szCs w:val="36"/>
        </w:rPr>
      </w:r>
      <w:r>
        <w:rPr>
          <w:rFonts w:ascii="Arial" w:hAnsi="Arial" w:eastAsia="Arial" w:cs="Arial"/>
          <w:sz w:val="36"/>
          <w:szCs w:val="36"/>
        </w:rPr>
      </w:r>
    </w:p>
    <w:p>
      <w:pPr>
        <w:pStyle w:val="644"/>
        <w:ind w:left="0" w:right="0" w:firstLine="0"/>
        <w:spacing w:before="570" w:after="210"/>
        <w:rPr>
          <w:rFonts w:ascii="Arial" w:hAnsi="Arial" w:eastAsia="Arial" w:cs="Arial"/>
          <w:b/>
          <w:bCs/>
          <w:color w:val="12263f"/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single" w:color="E2E8F0" w:sz="12" w:space="0"/>
          <w:right w:val="none" w:color="000000" w:sz="4" w:space="0"/>
        </w:pBdr>
      </w:pPr>
      <w:r>
        <w:rPr>
          <w:rFonts w:ascii="Arial" w:hAnsi="Arial" w:eastAsia="Arial" w:cs="Arial"/>
          <w:b/>
          <w:bCs/>
          <w:color w:val="12263f"/>
          <w:sz w:val="36"/>
          <w:szCs w:val="36"/>
        </w:rPr>
        <w:t xml:space="preserve">Ключевые сроки работы с фондом учебников</w:t>
      </w:r>
      <w:r>
        <w:rPr>
          <w:b/>
          <w:bCs/>
          <w:sz w:val="36"/>
          <w:szCs w:val="36"/>
        </w:rPr>
      </w:r>
    </w:p>
    <w:tbl>
      <w:tblPr>
        <w:tblStyle w:val="67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137"/>
        <w:gridCol w:w="7218"/>
      </w:tblGrid>
      <w:tr>
        <w:trPr/>
        <w:tc>
          <w:tcPr>
            <w:shd w:val="clear" w:color="e8edf2" w:fill="e8edf2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b/>
                <w:color w:val="12263f"/>
                <w:sz w:val="23"/>
              </w:rPr>
              <w:t xml:space="preserve">Срок</w:t>
            </w:r>
            <w:r/>
          </w:p>
        </w:tc>
        <w:tc>
          <w:tcPr>
            <w:shd w:val="clear" w:color="e8edf2" w:fill="e8edf2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b/>
                <w:color w:val="12263f"/>
                <w:sz w:val="23"/>
              </w:rPr>
              <w:t xml:space="preserve">Что делает педагог-библиотекарь</w:t>
            </w:r>
            <w:r/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01–10.09.2026</w:t>
            </w:r>
            <w:r/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Завершение выдачи учебников по классам, до выдача вновь прибывшим</w:t>
            </w:r>
            <w:r/>
          </w:p>
        </w:tc>
      </w:tr>
      <w:tr>
        <w:trPr/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до 15.09.2026</w:t>
            </w:r>
            <w:r/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Сверка фонда с федеральным перечнем по приказу № 436; справка об обеспеченности</w:t>
            </w:r>
            <w:r/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до 30.10.2026</w:t>
            </w:r>
            <w:r/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Предварительный заказ учебников на 2027/2028 учебный год с учётом изменённого учебного плана</w:t>
            </w:r>
            <w:r/>
          </w:p>
        </w:tc>
      </w:tr>
      <w:tr>
        <w:trPr/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декабрь 2026, апрель 2027</w:t>
            </w:r>
            <w:r/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Рейды по классам, контроль сохранности учебников</w:t>
            </w:r>
            <w:r/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до 20.01.2027</w:t>
            </w:r>
            <w:r/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Мониторинг обеспеченности учебниками на второе полугодие</w:t>
            </w:r>
            <w:r/>
          </w:p>
        </w:tc>
      </w:tr>
      <w:tr>
        <w:trPr/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до 25.03.2027</w:t>
            </w:r>
            <w:r/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Окончательный заказ учебников, согласованный с методическими объединениями</w:t>
            </w:r>
            <w:r/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18–29.05.2027</w:t>
            </w:r>
            <w:r/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Приём учебников от обучающихся; для 9 и 11 классов — по расписанию ГИА</w:t>
            </w:r>
            <w:r/>
          </w:p>
        </w:tc>
      </w:tr>
      <w:tr>
        <w:trPr/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июнь 2027</w:t>
            </w:r>
            <w:r/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Инвентаризация фонда учебников, списание</w:t>
            </w:r>
            <w:r/>
          </w:p>
        </w:tc>
      </w:tr>
      <w:tr>
        <w:trPr/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июль–август 2027</w:t>
            </w:r>
            <w:r/>
          </w:p>
        </w:tc>
        <w:tc>
          <w:tcPr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Приём и обработка поступивших учебников, комплектование по классам</w:t>
            </w:r>
            <w:r/>
          </w:p>
        </w:tc>
      </w:tr>
      <w:tr>
        <w:trPr/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2137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до 25.08.2027</w:t>
            </w:r>
            <w:r/>
          </w:p>
        </w:tc>
        <w:tc>
          <w:tcPr>
            <w:shd w:val="clear" w:color="fafbfc" w:fill="fafbfc"/>
            <w:tcBorders>
              <w:top w:val="single" w:color="C7D2DD" w:sz="6" w:space="0"/>
              <w:left w:val="single" w:color="C7D2DD" w:sz="6" w:space="0"/>
              <w:bottom w:val="single" w:color="C7D2DD" w:sz="6" w:space="0"/>
              <w:right w:val="single" w:color="C7D2DD" w:sz="6" w:space="0"/>
            </w:tcBorders>
            <w:tcMar>
              <w:left w:w="180" w:type="dxa"/>
              <w:top w:w="150" w:type="dxa"/>
              <w:right w:w="180" w:type="dxa"/>
              <w:bottom w:w="150" w:type="dxa"/>
            </w:tcMar>
            <w:tcW w:w="721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Arial" w:hAnsi="Arial" w:eastAsia="Arial" w:cs="Arial"/>
                <w:color w:val="000000"/>
                <w:sz w:val="23"/>
              </w:rPr>
              <w:t xml:space="preserve">Повторная сверка с действующим федеральным перечнем</w:t>
            </w:r>
            <w:r/>
          </w:p>
        </w:tc>
      </w:tr>
    </w:tbl>
    <w:p>
      <w:pPr>
        <w:pStyle w:val="644"/>
        <w:ind w:left="0" w:right="0" w:firstLine="0"/>
        <w:spacing w:before="570" w:after="210"/>
        <w:rPr>
          <w:rFonts w:ascii="Arial" w:hAnsi="Arial" w:eastAsia="Arial" w:cs="Arial"/>
          <w:sz w:val="39"/>
          <w:szCs w:val="39"/>
        </w:rPr>
        <w:pBdr>
          <w:top w:val="none" w:color="000000" w:sz="4" w:space="0"/>
          <w:left w:val="none" w:color="000000" w:sz="4" w:space="0"/>
          <w:bottom w:val="single" w:color="E2E8F0" w:sz="12" w:space="0"/>
          <w:right w:val="none" w:color="000000" w:sz="4" w:space="0"/>
        </w:pBdr>
      </w:pPr>
      <w:r>
        <w:rPr>
          <w:rFonts w:ascii="Arial" w:hAnsi="Arial" w:eastAsia="Arial" w:cs="Arial"/>
          <w:color w:val="12263f"/>
          <w:sz w:val="39"/>
          <w:highlight w:val="none"/>
        </w:rPr>
      </w:r>
      <w:r>
        <w:rPr>
          <w:rFonts w:ascii="Arial" w:hAnsi="Arial" w:eastAsia="Arial" w:cs="Arial"/>
          <w:color w:val="12263f"/>
          <w:sz w:val="39"/>
          <w:highlight w:val="none"/>
        </w:rPr>
      </w:r>
    </w:p>
    <w:p>
      <w:pPr>
        <w:pStyle w:val="644"/>
        <w:ind w:left="0" w:right="0" w:firstLine="0"/>
        <w:spacing w:before="570" w:after="210"/>
        <w:rPr>
          <w:rFonts w:ascii="Arial" w:hAnsi="Arial" w:eastAsia="Arial" w:cs="Arial"/>
          <w:color w:val="12263f"/>
          <w:sz w:val="39"/>
          <w:szCs w:val="39"/>
          <w:highlight w:val="none"/>
        </w:rPr>
        <w:pBdr>
          <w:top w:val="none" w:color="000000" w:sz="4" w:space="0"/>
          <w:left w:val="none" w:color="000000" w:sz="4" w:space="0"/>
          <w:bottom w:val="single" w:color="E2E8F0" w:sz="12" w:space="0"/>
          <w:right w:val="none" w:color="000000" w:sz="4" w:space="0"/>
        </w:pBdr>
      </w:pPr>
      <w:r>
        <w:rPr>
          <w:rFonts w:ascii="Arial" w:hAnsi="Arial" w:eastAsia="Arial" w:cs="Arial"/>
          <w:color w:val="12263f"/>
          <w:sz w:val="39"/>
          <w:highlight w:val="none"/>
        </w:rPr>
      </w:r>
      <w:r>
        <w:rPr>
          <w:rFonts w:ascii="Arial" w:hAnsi="Arial" w:eastAsia="Arial" w:cs="Arial"/>
          <w:color w:val="12263f"/>
          <w:sz w:val="39"/>
          <w:highlight w:val="none"/>
        </w:rPr>
      </w:r>
    </w:p>
    <w:p>
      <w:pPr>
        <w:pStyle w:val="644"/>
        <w:ind w:left="0" w:right="0" w:firstLine="0"/>
        <w:spacing w:before="570" w:after="210"/>
        <w:rPr>
          <w:rFonts w:ascii="Arial" w:hAnsi="Arial" w:eastAsia="Arial" w:cs="Arial"/>
          <w:color w:val="12263f"/>
          <w:sz w:val="39"/>
          <w:szCs w:val="39"/>
          <w:highlight w:val="none"/>
        </w:rPr>
        <w:pBdr>
          <w:top w:val="none" w:color="000000" w:sz="4" w:space="0"/>
          <w:left w:val="none" w:color="000000" w:sz="4" w:space="0"/>
          <w:bottom w:val="single" w:color="E2E8F0" w:sz="12" w:space="0"/>
          <w:right w:val="none" w:color="000000" w:sz="4" w:space="0"/>
        </w:pBdr>
      </w:pPr>
      <w:r>
        <w:rPr>
          <w:rFonts w:ascii="Arial" w:hAnsi="Arial" w:eastAsia="Arial" w:cs="Arial"/>
          <w:color w:val="12263f"/>
          <w:sz w:val="39"/>
          <w:highlight w:val="none"/>
        </w:rPr>
      </w:r>
      <w:r>
        <w:rPr>
          <w:rFonts w:ascii="Arial" w:hAnsi="Arial" w:eastAsia="Arial" w:cs="Arial"/>
          <w:color w:val="12263f"/>
          <w:sz w:val="39"/>
          <w:highlight w:val="none"/>
        </w:rPr>
      </w:r>
    </w:p>
    <w:p>
      <w:pPr>
        <w:pStyle w:val="644"/>
        <w:ind w:left="0" w:right="0" w:firstLine="0"/>
        <w:spacing w:before="570" w:after="210"/>
        <w:rPr>
          <w:rFonts w:ascii="Arial" w:hAnsi="Arial" w:eastAsia="Arial" w:cs="Arial"/>
          <w:sz w:val="39"/>
          <w:szCs w:val="39"/>
        </w:rPr>
        <w:pBdr>
          <w:top w:val="none" w:color="000000" w:sz="4" w:space="0"/>
          <w:left w:val="none" w:color="000000" w:sz="4" w:space="0"/>
          <w:bottom w:val="single" w:color="E2E8F0" w:sz="12" w:space="0"/>
          <w:right w:val="none" w:color="000000" w:sz="4" w:space="0"/>
        </w:pBdr>
      </w:pPr>
      <w:r>
        <w:rPr>
          <w:rFonts w:ascii="Arial" w:hAnsi="Arial" w:eastAsia="Arial" w:cs="Arial"/>
          <w:color w:val="12263f"/>
          <w:sz w:val="39"/>
          <w:highlight w:val="none"/>
        </w:rPr>
      </w:r>
      <w:r>
        <w:rPr>
          <w:rFonts w:ascii="Arial" w:hAnsi="Arial" w:eastAsia="Arial" w:cs="Arial"/>
          <w:color w:val="12263f"/>
          <w:sz w:val="39"/>
          <w:highlight w:val="none"/>
        </w:rPr>
      </w:r>
    </w:p>
    <w:p>
      <w:pPr>
        <w:jc w:val="center"/>
        <w:spacing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jc w:val="center"/>
        <w:spacing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r>
        <w:rPr>
          <w:b/>
          <w:bCs/>
          <w:sz w:val="28"/>
          <w:szCs w:val="28"/>
        </w:rPr>
      </w:r>
      <w:r/>
    </w:p>
    <w:p>
      <w:pPr>
        <w:jc w:val="center"/>
        <w:spacing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/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</w:r>
      <w:r/>
    </w:p>
    <w:p>
      <w:pPr>
        <w:jc w:val="center"/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</w:r>
      <w:r/>
    </w:p>
    <w:p>
      <w:pPr>
        <w:jc w:val="center"/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</w:r>
      <w:r/>
    </w:p>
    <w:p>
      <w:pPr>
        <w:jc w:val="center"/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</w:r>
      <w:r/>
    </w:p>
    <w:p>
      <w:pPr>
        <w:jc w:val="center"/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</w:r>
      <w:r/>
    </w:p>
    <w:p>
      <w:pPr>
        <w:jc w:val="center"/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20" w:hanging="360"/>
        <w:tabs>
          <w:tab w:val="num" w:pos="252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40" w:hanging="360"/>
        <w:tabs>
          <w:tab w:val="num" w:pos="324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60" w:hanging="360"/>
        <w:tabs>
          <w:tab w:val="num" w:pos="396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80" w:hanging="360"/>
        <w:tabs>
          <w:tab w:val="num" w:pos="468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00" w:hanging="360"/>
        <w:tabs>
          <w:tab w:val="num" w:pos="540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20" w:hanging="360"/>
        <w:tabs>
          <w:tab w:val="num" w:pos="612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40" w:hanging="360"/>
        <w:tabs>
          <w:tab w:val="num" w:pos="684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60" w:hanging="360"/>
        <w:tabs>
          <w:tab w:val="num" w:pos="756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  <w:tabs>
          <w:tab w:val="num" w:pos="28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  <w:tabs>
          <w:tab w:val="num" w:pos="50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  <w:tabs>
          <w:tab w:val="num" w:pos="72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  <w:tabs>
          <w:tab w:val="num" w:pos="7920" w:leader="none"/>
        </w:tabs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666666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666666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666666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666666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666666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666666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666666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666666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666666"/>
        <w:sz w:val="24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666666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666666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666666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666666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666666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666666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666666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666666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666666"/>
        <w:sz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basedOn w:val="819"/>
    <w:next w:val="819"/>
    <w:link w:val="6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3">
    <w:name w:val="Heading 1 Char"/>
    <w:basedOn w:val="820"/>
    <w:link w:val="642"/>
    <w:uiPriority w:val="9"/>
    <w:rPr>
      <w:rFonts w:ascii="Arial" w:hAnsi="Arial" w:eastAsia="Arial" w:cs="Arial"/>
      <w:sz w:val="40"/>
      <w:szCs w:val="40"/>
    </w:rPr>
  </w:style>
  <w:style w:type="paragraph" w:styleId="644">
    <w:name w:val="Heading 2"/>
    <w:basedOn w:val="819"/>
    <w:next w:val="819"/>
    <w:link w:val="6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5">
    <w:name w:val="Heading 2 Char"/>
    <w:basedOn w:val="820"/>
    <w:link w:val="644"/>
    <w:uiPriority w:val="9"/>
    <w:rPr>
      <w:rFonts w:ascii="Arial" w:hAnsi="Arial" w:eastAsia="Arial" w:cs="Arial"/>
      <w:sz w:val="34"/>
    </w:rPr>
  </w:style>
  <w:style w:type="paragraph" w:styleId="646">
    <w:name w:val="Heading 3"/>
    <w:basedOn w:val="819"/>
    <w:next w:val="819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7">
    <w:name w:val="Heading 3 Char"/>
    <w:basedOn w:val="820"/>
    <w:link w:val="646"/>
    <w:uiPriority w:val="9"/>
    <w:rPr>
      <w:rFonts w:ascii="Arial" w:hAnsi="Arial" w:eastAsia="Arial" w:cs="Arial"/>
      <w:sz w:val="30"/>
      <w:szCs w:val="30"/>
    </w:rPr>
  </w:style>
  <w:style w:type="paragraph" w:styleId="648">
    <w:name w:val="Heading 4"/>
    <w:basedOn w:val="819"/>
    <w:next w:val="819"/>
    <w:link w:val="6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9">
    <w:name w:val="Heading 4 Char"/>
    <w:basedOn w:val="820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650">
    <w:name w:val="Heading 5"/>
    <w:basedOn w:val="819"/>
    <w:next w:val="819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1">
    <w:name w:val="Heading 5 Char"/>
    <w:basedOn w:val="820"/>
    <w:link w:val="650"/>
    <w:uiPriority w:val="9"/>
    <w:rPr>
      <w:rFonts w:ascii="Arial" w:hAnsi="Arial" w:eastAsia="Arial" w:cs="Arial"/>
      <w:b/>
      <w:bCs/>
      <w:sz w:val="24"/>
      <w:szCs w:val="24"/>
    </w:rPr>
  </w:style>
  <w:style w:type="paragraph" w:styleId="652">
    <w:name w:val="Heading 6"/>
    <w:basedOn w:val="819"/>
    <w:next w:val="819"/>
    <w:link w:val="6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3">
    <w:name w:val="Heading 6 Char"/>
    <w:basedOn w:val="820"/>
    <w:link w:val="652"/>
    <w:uiPriority w:val="9"/>
    <w:rPr>
      <w:rFonts w:ascii="Arial" w:hAnsi="Arial" w:eastAsia="Arial" w:cs="Arial"/>
      <w:b/>
      <w:bCs/>
      <w:sz w:val="22"/>
      <w:szCs w:val="22"/>
    </w:rPr>
  </w:style>
  <w:style w:type="paragraph" w:styleId="654">
    <w:name w:val="Heading 7"/>
    <w:basedOn w:val="819"/>
    <w:next w:val="819"/>
    <w:link w:val="6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7 Char"/>
    <w:basedOn w:val="820"/>
    <w:link w:val="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6">
    <w:name w:val="Heading 8"/>
    <w:basedOn w:val="819"/>
    <w:next w:val="819"/>
    <w:link w:val="6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7">
    <w:name w:val="Heading 8 Char"/>
    <w:basedOn w:val="820"/>
    <w:link w:val="656"/>
    <w:uiPriority w:val="9"/>
    <w:rPr>
      <w:rFonts w:ascii="Arial" w:hAnsi="Arial" w:eastAsia="Arial" w:cs="Arial"/>
      <w:i/>
      <w:iCs/>
      <w:sz w:val="22"/>
      <w:szCs w:val="22"/>
    </w:rPr>
  </w:style>
  <w:style w:type="paragraph" w:styleId="658">
    <w:name w:val="Heading 9"/>
    <w:basedOn w:val="819"/>
    <w:next w:val="819"/>
    <w:link w:val="6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9">
    <w:name w:val="Heading 9 Char"/>
    <w:basedOn w:val="820"/>
    <w:link w:val="658"/>
    <w:uiPriority w:val="9"/>
    <w:rPr>
      <w:rFonts w:ascii="Arial" w:hAnsi="Arial" w:eastAsia="Arial" w:cs="Arial"/>
      <w:i/>
      <w:iCs/>
      <w:sz w:val="21"/>
      <w:szCs w:val="21"/>
    </w:rPr>
  </w:style>
  <w:style w:type="paragraph" w:styleId="660">
    <w:name w:val="List Paragraph"/>
    <w:basedOn w:val="819"/>
    <w:uiPriority w:val="34"/>
    <w:qFormat/>
    <w:pPr>
      <w:contextualSpacing/>
      <w:ind w:left="720"/>
    </w:pPr>
  </w:style>
  <w:style w:type="paragraph" w:styleId="661">
    <w:name w:val="No Spacing"/>
    <w:uiPriority w:val="1"/>
    <w:qFormat/>
    <w:pPr>
      <w:spacing w:before="0" w:after="0" w:line="240" w:lineRule="auto"/>
    </w:pPr>
  </w:style>
  <w:style w:type="paragraph" w:styleId="662">
    <w:name w:val="Title"/>
    <w:basedOn w:val="819"/>
    <w:next w:val="819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basedOn w:val="820"/>
    <w:link w:val="662"/>
    <w:uiPriority w:val="10"/>
    <w:rPr>
      <w:sz w:val="48"/>
      <w:szCs w:val="48"/>
    </w:rPr>
  </w:style>
  <w:style w:type="paragraph" w:styleId="664">
    <w:name w:val="Subtitle"/>
    <w:basedOn w:val="819"/>
    <w:next w:val="819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basedOn w:val="820"/>
    <w:link w:val="664"/>
    <w:uiPriority w:val="11"/>
    <w:rPr>
      <w:sz w:val="24"/>
      <w:szCs w:val="24"/>
    </w:rPr>
  </w:style>
  <w:style w:type="paragraph" w:styleId="666">
    <w:name w:val="Quote"/>
    <w:basedOn w:val="819"/>
    <w:next w:val="819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19"/>
    <w:next w:val="819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19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basedOn w:val="820"/>
    <w:link w:val="670"/>
    <w:uiPriority w:val="99"/>
  </w:style>
  <w:style w:type="paragraph" w:styleId="672">
    <w:name w:val="Footer"/>
    <w:basedOn w:val="819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basedOn w:val="820"/>
    <w:link w:val="672"/>
    <w:uiPriority w:val="99"/>
  </w:style>
  <w:style w:type="paragraph" w:styleId="674">
    <w:name w:val="Caption"/>
    <w:basedOn w:val="819"/>
    <w:next w:val="8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basedOn w:val="8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>
    <w:name w:val="Grid Table 4 - Accent 1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6">
    <w:name w:val="Grid Table 4 - Accent 2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7">
    <w:name w:val="Grid Table 4 - Accent 3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8">
    <w:name w:val="Grid Table 4 - Accent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9">
    <w:name w:val="Grid Table 4 - Accent 5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0">
    <w:name w:val="Grid Table 4 - Accent 6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1">
    <w:name w:val="Grid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1">
    <w:name w:val="List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2">
    <w:name w:val="List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3">
    <w:name w:val="List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4">
    <w:name w:val="List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5">
    <w:name w:val="List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8">
    <w:name w:val="List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9">
    <w:name w:val="List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List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1">
    <w:name w:val="List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List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3">
    <w:name w:val="List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4">
    <w:name w:val="List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6">
    <w:name w:val="List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7">
    <w:name w:val="List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8">
    <w:name w:val="List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9">
    <w:name w:val="List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0">
    <w:name w:val="List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1">
    <w:name w:val="Lined - Accent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Lined - Accent 1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3">
    <w:name w:val="Lined - Accent 2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4">
    <w:name w:val="Lined - Accent 3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5">
    <w:name w:val="Lined - Accent 4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6">
    <w:name w:val="Lined - Accent 5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7">
    <w:name w:val="Lined - Accent 6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8">
    <w:name w:val="Bordered &amp; Lined - Accent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Bordered &amp; Lined - Accent 1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0">
    <w:name w:val="Bordered &amp; Lined - Accent 2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1">
    <w:name w:val="Bordered &amp; Lined - Accent 3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2">
    <w:name w:val="Bordered &amp; Lined - Accent 4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3">
    <w:name w:val="Bordered &amp; Lined - Accent 5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4">
    <w:name w:val="Bordered &amp; Lined - Accent 6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5">
    <w:name w:val="Bordered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6">
    <w:name w:val="Bordered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7">
    <w:name w:val="Bordered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8">
    <w:name w:val="Bordered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9">
    <w:name w:val="Bordered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0">
    <w:name w:val="Bordered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1">
    <w:name w:val="Bordered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2">
    <w:name w:val="footnote text"/>
    <w:basedOn w:val="819"/>
    <w:link w:val="803"/>
    <w:uiPriority w:val="99"/>
    <w:semiHidden/>
    <w:unhideWhenUsed/>
    <w:pPr>
      <w:spacing w:after="40" w:line="240" w:lineRule="auto"/>
    </w:pPr>
    <w:rPr>
      <w:sz w:val="18"/>
    </w:rPr>
  </w:style>
  <w:style w:type="character" w:styleId="803">
    <w:name w:val="Footnote Text Char"/>
    <w:link w:val="802"/>
    <w:uiPriority w:val="99"/>
    <w:rPr>
      <w:sz w:val="18"/>
    </w:rPr>
  </w:style>
  <w:style w:type="character" w:styleId="804">
    <w:name w:val="footnote reference"/>
    <w:basedOn w:val="820"/>
    <w:uiPriority w:val="99"/>
    <w:unhideWhenUsed/>
    <w:rPr>
      <w:vertAlign w:val="superscript"/>
    </w:rPr>
  </w:style>
  <w:style w:type="paragraph" w:styleId="805">
    <w:name w:val="endnote text"/>
    <w:basedOn w:val="819"/>
    <w:link w:val="806"/>
    <w:uiPriority w:val="99"/>
    <w:semiHidden/>
    <w:unhideWhenUsed/>
    <w:pPr>
      <w:spacing w:after="0" w:line="240" w:lineRule="auto"/>
    </w:pPr>
    <w:rPr>
      <w:sz w:val="20"/>
    </w:rPr>
  </w:style>
  <w:style w:type="character" w:styleId="806">
    <w:name w:val="Endnote Text Char"/>
    <w:link w:val="805"/>
    <w:uiPriority w:val="99"/>
    <w:rPr>
      <w:sz w:val="20"/>
    </w:rPr>
  </w:style>
  <w:style w:type="character" w:styleId="807">
    <w:name w:val="endnote reference"/>
    <w:basedOn w:val="820"/>
    <w:uiPriority w:val="99"/>
    <w:semiHidden/>
    <w:unhideWhenUsed/>
    <w:rPr>
      <w:vertAlign w:val="superscript"/>
    </w:rPr>
  </w:style>
  <w:style w:type="paragraph" w:styleId="808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9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10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11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12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3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4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5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6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7">
    <w:name w:val="TOC Heading"/>
    <w:uiPriority w:val="39"/>
    <w:unhideWhenUsed/>
  </w:style>
  <w:style w:type="paragraph" w:styleId="818">
    <w:name w:val="table of figures"/>
    <w:basedOn w:val="819"/>
    <w:next w:val="819"/>
    <w:uiPriority w:val="99"/>
    <w:unhideWhenUsed/>
    <w:pPr>
      <w:spacing w:after="0" w:afterAutospacing="0"/>
    </w:pPr>
  </w:style>
  <w:style w:type="paragraph" w:styleId="81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20" w:default="1">
    <w:name w:val="Default Paragraph Font"/>
    <w:uiPriority w:val="1"/>
    <w:semiHidden/>
    <w:unhideWhenUsed/>
  </w:style>
  <w:style w:type="table" w:styleId="82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2" w:default="1">
    <w:name w:val="No List"/>
    <w:uiPriority w:val="99"/>
    <w:semiHidden/>
    <w:unhideWhenUsed/>
  </w:style>
  <w:style w:type="paragraph" w:styleId="823">
    <w:name w:val="Normal (Web)"/>
    <w:basedOn w:val="819"/>
    <w:pPr>
      <w:spacing w:before="100" w:beforeAutospacing="1" w:after="100" w:afterAutospacing="1"/>
    </w:pPr>
  </w:style>
  <w:style w:type="paragraph" w:styleId="824">
    <w:name w:val="Body Text Indent"/>
    <w:basedOn w:val="819"/>
    <w:link w:val="825"/>
    <w:pPr>
      <w:ind w:left="283"/>
      <w:spacing w:after="120"/>
    </w:pPr>
  </w:style>
  <w:style w:type="character" w:styleId="825" w:customStyle="1">
    <w:name w:val="Основной текст с отступом Знак"/>
    <w:basedOn w:val="820"/>
    <w:link w:val="824"/>
    <w:rPr>
      <w:rFonts w:ascii="Times New Roman" w:hAnsi="Times New Roman" w:eastAsia="Times New Roman" w:cs="Times New Roman"/>
      <w:sz w:val="24"/>
      <w:szCs w:val="24"/>
    </w:rPr>
  </w:style>
  <w:style w:type="character" w:styleId="826">
    <w:name w:val="Strong"/>
    <w:qFormat/>
    <w:rPr>
      <w:b/>
      <w:bCs/>
    </w:rPr>
  </w:style>
  <w:style w:type="character" w:styleId="827">
    <w:name w:val="Hyperlink"/>
    <w:unhideWhenUsed/>
    <w:rPr>
      <w:color w:val="0000ff"/>
      <w:u w:val="single"/>
    </w:rPr>
  </w:style>
  <w:style w:type="character" w:styleId="828" w:customStyle="1">
    <w:name w:val="apple-converted-space"/>
    <w:basedOn w:val="82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Homr</dc:creator>
  <cp:revision>7</cp:revision>
  <dcterms:created xsi:type="dcterms:W3CDTF">2018-05-28T13:05:00Z</dcterms:created>
  <dcterms:modified xsi:type="dcterms:W3CDTF">2026-09-23T07:23:27Z</dcterms:modified>
</cp:coreProperties>
</file>