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6F" w:rsidRPr="00890C6F" w:rsidRDefault="00890C6F" w:rsidP="00890C6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890C6F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Профилактика </w:t>
      </w:r>
      <w:proofErr w:type="spellStart"/>
      <w:r w:rsidRPr="00890C6F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йододефицита</w:t>
      </w:r>
      <w:proofErr w:type="spellEnd"/>
    </w:p>
    <w:p w:rsidR="00890C6F" w:rsidRPr="00890C6F" w:rsidRDefault="00890C6F" w:rsidP="00890C6F">
      <w:pPr>
        <w:shd w:val="clear" w:color="auto" w:fill="FFFFFF"/>
        <w:spacing w:before="240" w:after="24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Тюменская область относится к территориям с природно-обусловленным дефицитом йода.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Зачем он нужен?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Йод – это микроэлемент, который непосредственно участвует в синтезе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гормона щитовидной железы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 – тироксина, на создание которого идет до 90 процентов потребляемого с пищей йода.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Тироксин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 (а, следовательно, </w:t>
      </w:r>
      <w:r w:rsidRPr="00890C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йод) контролирует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 и усиливает интенсивность обмена веществ: водно-солевой обмен, обмен белков, жиров и углеводов. А еще он регулирует теплообмен в организме, деление и рост клеток, работу печени и сердечно-сосудистой системы.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Кроме того, именно от этого гормона зависят состояние нервной системы, эмоциональное состояние человека и его психологическое здоровье.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Если йода не хватает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Если вместе с пищей поступает недостаточно йода, щитовидная железа вырабатывает мало тироксина. Такое состояние называется гипотиреозом или </w:t>
      </w:r>
      <w:proofErr w:type="spellStart"/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йододефицитом</w:t>
      </w:r>
      <w:proofErr w:type="spell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Чаще всего первым на недостаток йода реагирует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нервная система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: человек становится забывчивым, у него снижаются внимание и реакция, появляется раздражительность, сонливость и дело иногда доходит даже до депрессии.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Кроме того</w:t>
      </w:r>
      <w:proofErr w:type="gram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слабеет иммунитет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, в организме застаивается жидкость, у женщин нарушается менструальный цикл, и может развиться бесплодие. Появляются проблемы с сердцем и сосудами: аритмия, повышение давления, снижение уровня гемоглобина в крови.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Повышается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масса тела,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 xml:space="preserve"> ведь тироксина слишком мало для того, чтобы процесс расхода энергии шел нормальным путем, и она откладывается в виде жировых запасов. Если вы полноценно питаетесь и много двигаетесь, но не можете избавиться от действительно лишних килограммов, стоит обратиться к эндокринологу – замедленный обмен веществ иногда оказывается одним из признаков </w:t>
      </w:r>
      <w:proofErr w:type="spellStart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йододефицита</w:t>
      </w:r>
      <w:proofErr w:type="spell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Если дефицит йода не восполняется долго, ткани щитовидной железы начинают разрастаться, пытаясь компенсировать недостаток производства тироксина количеством клеток. Такое увеличение щитовидной железы называют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зобом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.</w:t>
      </w:r>
    </w:p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5672"/>
      </w:tblGrid>
      <w:tr w:rsidR="00890C6F" w:rsidRPr="00890C6F" w:rsidTr="00890C6F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Страны мира, где нет дефицита йода (данные на 2010 г.)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Страны мира, где йодный дефицит - серьезная проблема (данные на 2010 г.)</w:t>
            </w:r>
          </w:p>
        </w:tc>
      </w:tr>
      <w:tr w:rsidR="00890C6F" w:rsidRPr="00890C6F" w:rsidTr="00890C6F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Конго</w:t>
            </w:r>
          </w:p>
        </w:tc>
      </w:tr>
      <w:tr w:rsidR="00890C6F" w:rsidRPr="00890C6F" w:rsidTr="00890C6F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Бангладеш</w:t>
            </w:r>
          </w:p>
        </w:tc>
      </w:tr>
      <w:tr w:rsidR="00890C6F" w:rsidRPr="00890C6F" w:rsidTr="00890C6F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lastRenderedPageBreak/>
              <w:t>Австралия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Боливия</w:t>
            </w:r>
          </w:p>
        </w:tc>
      </w:tr>
      <w:tr w:rsidR="00890C6F" w:rsidRPr="00890C6F" w:rsidTr="00890C6F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Страны Скандинавии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Афганистан</w:t>
            </w:r>
          </w:p>
        </w:tc>
      </w:tr>
      <w:tr w:rsidR="00890C6F" w:rsidRPr="00890C6F" w:rsidTr="00890C6F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C6F" w:rsidRPr="00890C6F" w:rsidRDefault="00890C6F" w:rsidP="00890C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C6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  <w:t>Таджикистан</w:t>
            </w:r>
          </w:p>
        </w:tc>
      </w:tr>
    </w:tbl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 xml:space="preserve">Для кого </w:t>
      </w:r>
      <w:proofErr w:type="spellStart"/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йододефицит</w:t>
      </w:r>
      <w:proofErr w:type="spellEnd"/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 xml:space="preserve"> опаснее всего?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 xml:space="preserve">Особенно опасен </w:t>
      </w:r>
      <w:proofErr w:type="spellStart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йододефицит</w:t>
      </w:r>
      <w:proofErr w:type="spell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 xml:space="preserve"> для беременных женщин: беременность может прерваться преждевременно, а малыш родиться мертвым или с серьезным пороком развития –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кретинизмом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Не менее тяжело переносит недостаток йода растущий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организм детей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: они начинают отставать в умственном и физическом развитии. Как правило, это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замедление роста тела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 и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нарушение восприятия информации и речи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Как пополнить дефицит йода?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Больше всего йода содержится в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морепродуктах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: в морской капусте его встречается около 220 мг на 100 г, а в креветках — 150 мг на 100 г.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В мясе, молоке и молочных продуктах содержание йода всего 7–16 мкг/ 100 г.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Содержание йода в продуктах растительного происхождения зависит от его содержания в почве. При природном дефиците йода на территории Тюменской области содержание его в растительных продуктах крайне мало.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И в питьевой воде в большинстве регионов нашей страны йода также совсем мало – 0,2–2 мкг/л.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При явном недостатке йода в рационе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врач-эндокринолог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 может назначить специальные витаминно-минеральные препараты, содержащие </w:t>
      </w:r>
      <w:r w:rsidRPr="00890C6F">
        <w:rPr>
          <w:rFonts w:ascii="Arial" w:eastAsia="Times New Roman" w:hAnsi="Arial" w:cs="Arial"/>
          <w:color w:val="2A6B9C"/>
          <w:sz w:val="24"/>
          <w:szCs w:val="24"/>
          <w:u w:val="single"/>
          <w:lang w:eastAsia="ru-RU"/>
        </w:rPr>
        <w:t>йод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. Нельзя начинать их прием бесконтрольно – тип препарата и его дозировка подбирается только после развернутых анализов.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Для того, чтобы </w:t>
      </w: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обогатить рацион йодом</w:t>
      </w: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, сейчас выпускаются специально маркированные пищевые продукты, в которые добавляется от 10 до 30 процентов суточной нормы этого микроэлемента.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Наиболее популярный среди них – йодированная поваренная соль, в которой содержится около 45 мкг/г йода. Если использовать ее в пищу вместо обычной соли, можно получить всю суточную норму йода.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  <w:t>Что надо знать о йодированной соли?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Информация о добавленном йоде должна содержаться на упаковке соли. Соль «морская», «ископаемая», «фито», «с витаминами» достаточного количества йода не содержат.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 xml:space="preserve">В настоящее время для йодирования соли используется </w:t>
      </w:r>
      <w:proofErr w:type="spellStart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йодат</w:t>
      </w:r>
      <w:proofErr w:type="spell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 xml:space="preserve"> калия – устойчивое соединение, которое не влияет ни на цвет, ни на вкус продуктов.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lastRenderedPageBreak/>
        <w:t xml:space="preserve">Использование йодированной соли для профилактики </w:t>
      </w:r>
      <w:proofErr w:type="spellStart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йоддефицитных</w:t>
      </w:r>
      <w:proofErr w:type="spell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 xml:space="preserve"> заболеваний имеет то неоспоримое преимущество, что ничего не надо делать специально. Просто вместо обычной соли везде, где можно, используют соль </w:t>
      </w:r>
      <w:proofErr w:type="gramStart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йодированную(</w:t>
      </w:r>
      <w:proofErr w:type="gram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 xml:space="preserve">к тому же стоимость йодированной поваренной соли практически не отличается от </w:t>
      </w:r>
      <w:proofErr w:type="spellStart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нейодированной</w:t>
      </w:r>
      <w:proofErr w:type="spellEnd"/>
      <w:r w:rsidRPr="00890C6F">
        <w:rPr>
          <w:rFonts w:ascii="Arial" w:eastAsia="Times New Roman" w:hAnsi="Arial" w:cs="Arial"/>
          <w:color w:val="252A37"/>
          <w:sz w:val="24"/>
          <w:szCs w:val="24"/>
          <w:lang w:eastAsia="ru-RU"/>
        </w:rPr>
        <w:t>).</w:t>
      </w:r>
    </w:p>
    <w:p w:rsidR="00890C6F" w:rsidRPr="00890C6F" w:rsidRDefault="00890C6F" w:rsidP="00890C6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C6F">
        <w:rPr>
          <w:rFonts w:ascii="Arial" w:eastAsia="Times New Roman" w:hAnsi="Arial" w:cs="Arial"/>
          <w:noProof/>
          <w:color w:val="252A37"/>
          <w:sz w:val="24"/>
          <w:szCs w:val="24"/>
          <w:lang w:eastAsia="ru-RU"/>
        </w:rPr>
        <w:drawing>
          <wp:inline distT="0" distB="0" distL="0" distR="0" wp14:anchorId="663ED89F" wp14:editId="36882D9E">
            <wp:extent cx="1985645" cy="1476375"/>
            <wp:effectExtent l="0" t="0" r="0" b="9525"/>
            <wp:docPr id="1" name="Рисунок 1" descr="о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й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6B" w:rsidRDefault="00C42B6B">
      <w:bookmarkStart w:id="0" w:name="_GoBack"/>
      <w:bookmarkEnd w:id="0"/>
    </w:p>
    <w:sectPr w:rsidR="00C4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6F"/>
    <w:rsid w:val="00890C6F"/>
    <w:rsid w:val="00C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0206-89F0-46C1-BCE3-2A0E94FD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2018-11-18T03:06:00Z</dcterms:created>
  <dcterms:modified xsi:type="dcterms:W3CDTF">2018-11-18T03:06:00Z</dcterms:modified>
</cp:coreProperties>
</file>